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w:t>
      </w:r>
      <w:proofErr w:type="gramEnd"/>
      <w:r w:rsidR="00CB5088" w:rsidRPr="00E211C3">
        <w:rPr>
          <w:rFonts w:ascii="標楷體" w:eastAsia="標楷體" w:hAnsi="標楷體" w:hint="eastAsia"/>
          <w:bCs/>
          <w:sz w:val="28"/>
          <w:szCs w:val="28"/>
        </w:rPr>
        <w:t>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w:t>
      </w:r>
      <w:proofErr w:type="gramEnd"/>
      <w:r w:rsidRPr="00E211C3">
        <w:rPr>
          <w:rFonts w:ascii="標楷體" w:eastAsia="標楷體" w:hAnsi="標楷體" w:hint="eastAsia"/>
          <w:b/>
          <w:sz w:val="28"/>
          <w:szCs w:val="28"/>
        </w:rPr>
        <w:t>上(甲、</w:t>
      </w:r>
      <w:proofErr w:type="gramStart"/>
      <w:r w:rsidRPr="00E211C3">
        <w:rPr>
          <w:rFonts w:ascii="標楷體" w:eastAsia="標楷體" w:hAnsi="標楷體" w:hint="eastAsia"/>
          <w:b/>
          <w:sz w:val="28"/>
          <w:szCs w:val="28"/>
        </w:rPr>
        <w:t>乙聯</w:t>
      </w:r>
      <w:proofErr w:type="gramEnd"/>
      <w:r w:rsidRPr="00E211C3">
        <w:rPr>
          <w:rFonts w:ascii="標楷體" w:eastAsia="標楷體" w:hAnsi="標楷體" w:hint="eastAsia"/>
          <w:b/>
          <w:sz w:val="28"/>
          <w:szCs w:val="28"/>
        </w:rPr>
        <w:t>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w:t>
      </w:r>
      <w:proofErr w:type="gramEnd"/>
      <w:r w:rsidR="00C4789B" w:rsidRPr="00E211C3">
        <w:rPr>
          <w:rFonts w:ascii="標楷體" w:eastAsia="標楷體" w:hAnsi="標楷體" w:hint="eastAsia"/>
          <w:sz w:val="28"/>
          <w:szCs w:val="28"/>
        </w:rPr>
        <w:t>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w:t>
      </w:r>
      <w:proofErr w:type="gramEnd"/>
      <w:r w:rsidR="00F96E0C" w:rsidRPr="004B6FE9">
        <w:rPr>
          <w:rFonts w:ascii="標楷體" w:eastAsia="標楷體" w:hAnsi="標楷體"/>
          <w:b/>
          <w:sz w:val="28"/>
          <w:szCs w:val="28"/>
          <w:u w:val="double"/>
        </w:rPr>
        <w:t>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897B1" w14:textId="77777777" w:rsidR="00987662" w:rsidRDefault="00987662" w:rsidP="00D602BE">
      <w:r>
        <w:separator/>
      </w:r>
    </w:p>
  </w:endnote>
  <w:endnote w:type="continuationSeparator" w:id="0">
    <w:p w14:paraId="02B1DFB1" w14:textId="77777777" w:rsidR="00987662" w:rsidRDefault="0098766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F2269" w14:textId="77777777" w:rsidR="00987662" w:rsidRDefault="00987662" w:rsidP="00D602BE">
      <w:r>
        <w:separator/>
      </w:r>
    </w:p>
  </w:footnote>
  <w:footnote w:type="continuationSeparator" w:id="0">
    <w:p w14:paraId="1CBAE076" w14:textId="77777777" w:rsidR="00987662" w:rsidRDefault="00987662"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87662"/>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67EF"/>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86FE-1DE8-4028-A98C-7C17FF17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2024-02-29T03:35:00Z</dcterms:created>
  <dcterms:modified xsi:type="dcterms:W3CDTF">2024-02-29T03:35:00Z</dcterms:modified>
</cp:coreProperties>
</file>