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44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01" w:type="dxa"/>
          <w:left w:w="108" w:type="dxa"/>
          <w:bottom w:w="29" w:type="dxa"/>
          <w:right w:w="52" w:type="dxa"/>
        </w:tblCellMar>
        <w:tblLook w:val="04A0" w:firstRow="1" w:lastRow="0" w:firstColumn="1" w:lastColumn="0" w:noHBand="0" w:noVBand="1"/>
      </w:tblPr>
      <w:tblGrid>
        <w:gridCol w:w="502"/>
        <w:gridCol w:w="420"/>
        <w:gridCol w:w="1877"/>
        <w:gridCol w:w="682"/>
        <w:gridCol w:w="2292"/>
        <w:gridCol w:w="2293"/>
        <w:gridCol w:w="2293"/>
        <w:gridCol w:w="5185"/>
      </w:tblGrid>
      <w:tr w:rsidR="004D7EB7" w:rsidTr="004D7EB7">
        <w:trPr>
          <w:trHeight w:val="449"/>
        </w:trPr>
        <w:tc>
          <w:tcPr>
            <w:tcW w:w="502" w:type="dxa"/>
            <w:vAlign w:val="center"/>
          </w:tcPr>
          <w:p w:rsidR="004D7EB7" w:rsidRDefault="004D7EB7" w:rsidP="004D7EB7">
            <w:pPr>
              <w:spacing w:after="0" w:line="259" w:lineRule="auto"/>
              <w:ind w:left="0" w:firstLine="0"/>
              <w:jc w:val="center"/>
            </w:pPr>
            <w:bookmarkStart w:id="0" w:name="_GoBack"/>
            <w:bookmarkEnd w:id="0"/>
            <w:r>
              <w:t>理念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D7EB7" w:rsidRDefault="004D7EB7" w:rsidP="004D7EB7">
            <w:pPr>
              <w:spacing w:after="0" w:line="259" w:lineRule="auto"/>
              <w:ind w:left="2" w:firstLine="0"/>
              <w:jc w:val="center"/>
            </w:pPr>
            <w:r>
              <w:t>面向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  <w:vAlign w:val="center"/>
          </w:tcPr>
          <w:p w:rsidR="004D7EB7" w:rsidRDefault="004D7EB7" w:rsidP="004D7EB7">
            <w:pPr>
              <w:spacing w:after="0" w:line="259" w:lineRule="auto"/>
              <w:ind w:left="0" w:firstLine="0"/>
              <w:jc w:val="center"/>
            </w:pPr>
            <w:r>
              <w:t>面向說明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:rsidR="004D7EB7" w:rsidRDefault="004D7EB7" w:rsidP="004D7EB7">
            <w:pPr>
              <w:spacing w:after="0" w:line="259" w:lineRule="auto"/>
              <w:ind w:left="0" w:firstLine="0"/>
              <w:jc w:val="center"/>
            </w:pPr>
            <w:r>
              <w:t>項目</w:t>
            </w:r>
          </w:p>
        </w:tc>
        <w:tc>
          <w:tcPr>
            <w:tcW w:w="2292" w:type="dxa"/>
            <w:vAlign w:val="center"/>
          </w:tcPr>
          <w:p w:rsidR="004D7EB7" w:rsidRDefault="004D7EB7" w:rsidP="004D7EB7">
            <w:pPr>
              <w:spacing w:after="0" w:line="259" w:lineRule="auto"/>
              <w:ind w:left="0" w:firstLine="0"/>
              <w:jc w:val="center"/>
            </w:pPr>
            <w:r>
              <w:t>具體內涵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4D7EB7" w:rsidRDefault="004D7EB7" w:rsidP="004D7EB7">
            <w:pPr>
              <w:ind w:left="53"/>
              <w:jc w:val="center"/>
            </w:pPr>
            <w:r>
              <w:t>從教學介入</w:t>
            </w:r>
            <w:r>
              <w:rPr>
                <w:rFonts w:hint="eastAsia"/>
              </w:rPr>
              <w:t>策</w:t>
            </w:r>
            <w:r>
              <w:t>略</w:t>
            </w:r>
          </w:p>
          <w:p w:rsidR="004D7EB7" w:rsidRDefault="004D7EB7" w:rsidP="004D7EB7">
            <w:pPr>
              <w:ind w:left="53"/>
              <w:jc w:val="center"/>
            </w:pPr>
            <w:r>
              <w:t>詮釋</w:t>
            </w:r>
          </w:p>
        </w:tc>
        <w:tc>
          <w:tcPr>
            <w:tcW w:w="2293" w:type="dxa"/>
            <w:vAlign w:val="center"/>
          </w:tcPr>
          <w:p w:rsidR="004D7EB7" w:rsidRDefault="004D7EB7" w:rsidP="004D7EB7">
            <w:pPr>
              <w:ind w:left="53"/>
              <w:jc w:val="center"/>
            </w:pPr>
            <w:r>
              <w:t>建議教學策略重點</w:t>
            </w:r>
          </w:p>
        </w:tc>
        <w:tc>
          <w:tcPr>
            <w:tcW w:w="5185" w:type="dxa"/>
            <w:shd w:val="clear" w:color="auto" w:fill="F2F2F2" w:themeFill="background1" w:themeFillShade="F2"/>
            <w:vAlign w:val="center"/>
          </w:tcPr>
          <w:p w:rsidR="004D7EB7" w:rsidRDefault="004D7EB7" w:rsidP="004D7EB7">
            <w:pPr>
              <w:ind w:left="0" w:rightChars="27" w:right="65"/>
              <w:jc w:val="center"/>
            </w:pPr>
            <w:r>
              <w:t>舉例</w:t>
            </w:r>
          </w:p>
        </w:tc>
      </w:tr>
      <w:tr w:rsidR="004D7EB7" w:rsidRPr="00333B94" w:rsidTr="004D7EB7">
        <w:trPr>
          <w:trHeight w:val="2890"/>
        </w:trPr>
        <w:tc>
          <w:tcPr>
            <w:tcW w:w="502" w:type="dxa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新細明體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自發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新細明體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Ａ自主行動</w:t>
            </w:r>
          </w:p>
        </w:tc>
        <w:tc>
          <w:tcPr>
            <w:tcW w:w="1877" w:type="dxa"/>
            <w:tcBorders>
              <w:top w:val="single" w:sz="6" w:space="0" w:color="000000"/>
              <w:bottom w:val="nil"/>
            </w:tcBorders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 xml:space="preserve">A1 </w:t>
            </w:r>
          </w:p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身心素質與自我精進 </w:t>
            </w:r>
          </w:p>
        </w:tc>
        <w:tc>
          <w:tcPr>
            <w:tcW w:w="2292" w:type="dxa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具備身心健全發展的素質，擁有合宜的人性觀與自我觀，同時透過選擇、分析與運用新知，有效規劃生涯發展，探尋生命意義，並不斷自我精進，追求至善。 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4D7EB7" w:rsidRPr="000E73A8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E73A8">
              <w:rPr>
                <w:rFonts w:asciiTheme="minorEastAsia" w:eastAsiaTheme="minorEastAsia" w:hAnsiTheme="minorEastAsia" w:hint="eastAsia"/>
                <w:szCs w:val="24"/>
              </w:rPr>
              <w:t>考量學生身心發展、先備知識、生活環境與體驗，透過學生有感的學習情境鋪陳，引發學生學習動機、</w:t>
            </w:r>
          </w:p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E73A8">
              <w:rPr>
                <w:rFonts w:asciiTheme="minorEastAsia" w:eastAsiaTheme="minorEastAsia" w:hAnsiTheme="minorEastAsia" w:hint="eastAsia"/>
                <w:szCs w:val="24"/>
              </w:rPr>
              <w:t>精進學習的意願。</w:t>
            </w:r>
          </w:p>
        </w:tc>
        <w:tc>
          <w:tcPr>
            <w:tcW w:w="2293" w:type="dxa"/>
          </w:tcPr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考量學生身心發展、先備知識、生活環境與體驗，透過學生有感的學習情境鋪陳，引發並維持學生學習動機、精進學習的意願，使得身心發展有逐漸進步之趨勢。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:rsidR="004D7EB7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例如：</w:t>
            </w:r>
          </w:p>
          <w:p w:rsidR="004D7EB7" w:rsidRPr="00333B94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一、學生在此學習主題的相關背景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先備知識或學習經驗為何？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2.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相關的日常生活經驗為何？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3.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對學習主題可能感興趣的相關問題為何？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85"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二、建構學生對此學習主題的哪些議題的探討，對現在與未來的社會適應是有助益的？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如何引發學生對此主題的關注？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2.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如何觸動學生對此主題的探討興趣？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3.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如何在教學過程中持續保有學習興趣？</w:t>
            </w:r>
          </w:p>
        </w:tc>
      </w:tr>
      <w:tr w:rsidR="004D7EB7" w:rsidRPr="00333B94" w:rsidTr="004D7EB7">
        <w:trPr>
          <w:trHeight w:val="459"/>
        </w:trPr>
        <w:tc>
          <w:tcPr>
            <w:tcW w:w="502" w:type="dxa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 w:hint="eastAsia"/>
                <w:b/>
                <w:szCs w:val="24"/>
              </w:rPr>
              <w:t>自發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新細明體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Ａ自主行動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強調個人為學習的主體，學習者應能選擇適當學習方式，進行系統思考以解決問題，並具備創造力與行動力。學習者在社會情境中，能自我管理，並採取適切行動，提升身心素質，裨益自我精</w:t>
            </w: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 xml:space="preserve"> </w:t>
            </w: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進。</w:t>
            </w: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 xml:space="preserve"> </w:t>
            </w:r>
          </w:p>
        </w:tc>
        <w:tc>
          <w:tcPr>
            <w:tcW w:w="682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>A2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系統思考與解決問題 </w:t>
            </w:r>
          </w:p>
        </w:tc>
        <w:tc>
          <w:tcPr>
            <w:tcW w:w="2292" w:type="dxa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具備問題理解、思辨分析、推理批判的系統思考與後設思考素養，並能行動與反思，以有效處理及解決生活、生命問題。 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分析教材</w:t>
            </w:r>
            <w:r w:rsidRPr="000E73A8">
              <w:rPr>
                <w:rFonts w:asciiTheme="minorEastAsia" w:eastAsiaTheme="minorEastAsia" w:hAnsiTheme="minorEastAsia" w:hint="eastAsia"/>
                <w:szCs w:val="24"/>
              </w:rPr>
              <w:t>領域知識脈絡的發展、關鍵提問、思維邏輯等，並設計問題導向的學習任務。</w:t>
            </w:r>
          </w:p>
        </w:tc>
        <w:tc>
          <w:tcPr>
            <w:tcW w:w="2293" w:type="dxa"/>
          </w:tcPr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引導學生能以整體的角度看待問題，找出相關聯的影響因素與問題結構之方式，分析教材之領域知識脈絡的發展、關鍵提問、思維邏輯等，並設計問題導向的學習任務與反覆嘗試修正。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:rsidR="004D7EB7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例如：</w:t>
            </w:r>
          </w:p>
          <w:p w:rsidR="004D7EB7" w:rsidRPr="00333B94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一、此學習主題的學習目標為何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? </w:t>
            </w:r>
          </w:p>
          <w:p w:rsidR="004D7EB7" w:rsidRDefault="004D7EB7" w:rsidP="004D7EB7">
            <w:pPr>
              <w:spacing w:after="0" w:line="240" w:lineRule="atLeast"/>
              <w:ind w:left="480" w:rightChars="27" w:right="65" w:hangingChars="200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二、學生在此學習活動可以了解各概念間的縱向、橫向關係為何？</w:t>
            </w:r>
          </w:p>
          <w:p w:rsidR="004D7EB7" w:rsidRPr="00333B94" w:rsidRDefault="004D7EB7" w:rsidP="004D7EB7">
            <w:pPr>
              <w:spacing w:after="0" w:line="240" w:lineRule="atLeast"/>
              <w:ind w:left="480" w:rightChars="27" w:right="65" w:hangingChars="200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三、教科書中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(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教材範圍內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)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的概念發展邏輯為何？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此概念發展邏輯與引起動機的情境鋪陳要如何關聯？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2.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此發展邏輯是否恰當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?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是否需調整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? </w:t>
            </w:r>
          </w:p>
          <w:p w:rsidR="004D7EB7" w:rsidRPr="00333B94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四、此主題的學習任務設計為何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?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擬定一系列的探討問題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?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2.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擬定此探討問題相關的關鍵提問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?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3.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策略試作比較後的結果是否有效解決問題？ </w:t>
            </w:r>
          </w:p>
        </w:tc>
      </w:tr>
      <w:tr w:rsidR="004D7EB7" w:rsidRPr="00333B94" w:rsidTr="004D7EB7">
        <w:trPr>
          <w:trHeight w:val="2890"/>
        </w:trPr>
        <w:tc>
          <w:tcPr>
            <w:tcW w:w="502" w:type="dxa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>自發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新細明體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Ａ自主行動</w:t>
            </w:r>
          </w:p>
        </w:tc>
        <w:tc>
          <w:tcPr>
            <w:tcW w:w="1877" w:type="dxa"/>
            <w:tcBorders>
              <w:top w:val="nil"/>
              <w:bottom w:val="single" w:sz="6" w:space="0" w:color="000000"/>
            </w:tcBorders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>A3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規劃執行與創新</w:t>
            </w:r>
          </w:p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應變 </w:t>
            </w:r>
          </w:p>
        </w:tc>
        <w:tc>
          <w:tcPr>
            <w:tcW w:w="2292" w:type="dxa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具備規劃及執行計畫的能力，並試探與發展多元專業知能、充實生活經驗，發揮創新精神，以因應社會變遷、增進個人的彈性適應力。 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4D7EB7" w:rsidRPr="000E73A8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E73A8">
              <w:rPr>
                <w:rFonts w:asciiTheme="minorEastAsia" w:eastAsiaTheme="minorEastAsia" w:hAnsiTheme="minorEastAsia" w:hint="eastAsia"/>
                <w:szCs w:val="24"/>
              </w:rPr>
              <w:t>以主題或議題的學習任務設計，跳脫領域</w:t>
            </w:r>
            <w:r w:rsidRPr="000E73A8">
              <w:rPr>
                <w:rFonts w:asciiTheme="minorEastAsia" w:eastAsiaTheme="minorEastAsia" w:hAnsiTheme="minorEastAsia"/>
                <w:szCs w:val="24"/>
              </w:rPr>
              <w:t>/</w:t>
            </w:r>
            <w:r w:rsidRPr="000E73A8">
              <w:rPr>
                <w:rFonts w:asciiTheme="minorEastAsia" w:eastAsiaTheme="minorEastAsia" w:hAnsiTheme="minorEastAsia" w:hint="eastAsia"/>
                <w:szCs w:val="24"/>
              </w:rPr>
              <w:t>學科框架，進行創新多元的專案規劃與執行。</w:t>
            </w:r>
            <w:r w:rsidRPr="000E73A8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93" w:type="dxa"/>
          </w:tcPr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以主題或議題的學習任務設計，跳脫領域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/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學科框架，引導學生展現個人特有風格與進行創新多元的專案規劃與執行，並保有彈性調整之應變措施與機制。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:rsidR="004D7EB7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例如：</w:t>
            </w:r>
          </w:p>
          <w:p w:rsidR="004D7EB7" w:rsidRPr="00333B94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一、學生在此學習主題下可以進行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教科書內可以組織的規劃主題？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2.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跳脫教科書可以規劃的主題？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3.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規劃過程中的具體執行步驟為何？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4.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學生如何成功執行規劃的內容？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85"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二、此主題可能涉及跨領域概念，處理的原則為何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?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如何保有學科本質，又能藉由跨領域延伸學習的內容？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</w:tr>
      <w:tr w:rsidR="004D7EB7" w:rsidRPr="00333B94" w:rsidTr="004D7EB7">
        <w:trPr>
          <w:trHeight w:val="1734"/>
        </w:trPr>
        <w:tc>
          <w:tcPr>
            <w:tcW w:w="502" w:type="dxa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新細明體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互動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新細明體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Ｂ溝通互動</w:t>
            </w:r>
          </w:p>
        </w:tc>
        <w:tc>
          <w:tcPr>
            <w:tcW w:w="1877" w:type="dxa"/>
            <w:tcBorders>
              <w:top w:val="single" w:sz="6" w:space="0" w:color="000000"/>
              <w:bottom w:val="nil"/>
            </w:tcBorders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強調學習者應能廣泛運用各種工具，有效與他人及環境互動。這些工具包括物質工具和社會文化工具，前者如人造物（教具、學習工具、文具、玩具、載具等）、科技（含輔助科技）與資訊等，後者如語言（口語、手語）、文字及數學符號等。</w:t>
            </w:r>
          </w:p>
        </w:tc>
        <w:tc>
          <w:tcPr>
            <w:tcW w:w="682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>B1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符號運用與溝通</w:t>
            </w:r>
          </w:p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表達 </w:t>
            </w:r>
          </w:p>
        </w:tc>
        <w:tc>
          <w:tcPr>
            <w:tcW w:w="2292" w:type="dxa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具備理解及使用語言、文字、數理、肢體及藝術等各種符號進行表達、溝通及互動，並能瞭解與同理他人，應用在日常生活及工作上。 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E73A8">
              <w:rPr>
                <w:rFonts w:asciiTheme="minorEastAsia" w:eastAsiaTheme="minorEastAsia" w:hAnsiTheme="minorEastAsia" w:hint="eastAsia"/>
                <w:szCs w:val="24"/>
              </w:rPr>
              <w:t>掌握於領域學習成果展現的各類表徵，以及各類表徵之間的轉化，營造學生之間優質的溝通表達與良性互動的機制。</w:t>
            </w:r>
          </w:p>
        </w:tc>
        <w:tc>
          <w:tcPr>
            <w:tcW w:w="2293" w:type="dxa"/>
          </w:tcPr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掌握於領域學習成果展現的各類表徵，以及各類表徵之間的轉化，引導學生發展出團隊共同、特有的肢體語言或符號，做為工具，營造彼此間優質的溝通表達與良性互動的機制。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:rsidR="004D7EB7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例如：</w:t>
            </w:r>
          </w:p>
          <w:p w:rsidR="004D7EB7" w:rsidRPr="00333B94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一、學生可以表達其學習結果的方式有哪些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?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語言、文字、圖像、符號、成品、肢體、影像等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…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2.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各類表徵的理解與判讀如何落實在活動中？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0" w:rightChars="27" w:right="65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二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此學習主題涉及到的概念表徵符號有哪些？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這些表徵符號，是否適合其年齡與學習程度？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2.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這些表徵符號對學生而言，由易到難的發展為何？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(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數理抽象化程度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) </w:t>
            </w:r>
          </w:p>
          <w:p w:rsidR="004D7EB7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 w:cs="Times New Roman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3.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這些表徵符號對學生而言，要學些什麼？學到什麼程度？用什麼方法學？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(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社會人文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) </w:t>
            </w:r>
          </w:p>
          <w:p w:rsidR="004D7EB7" w:rsidRPr="00333B94" w:rsidRDefault="004D7EB7" w:rsidP="004D7EB7">
            <w:pPr>
              <w:spacing w:after="0" w:line="240" w:lineRule="atLeast"/>
              <w:ind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學生如何善用這些表徵符號進行更有效、更有意義的溝通？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</w:tr>
      <w:tr w:rsidR="004D7EB7" w:rsidRPr="00333B94" w:rsidTr="004D7EB7">
        <w:trPr>
          <w:trHeight w:val="451"/>
        </w:trPr>
        <w:tc>
          <w:tcPr>
            <w:tcW w:w="502" w:type="dxa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>互動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Ｂ溝通互動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 w:cs="新細明體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工具不是被動的媒介，而是人我與環境間正向互動的管道。</w:t>
            </w:r>
          </w:p>
        </w:tc>
        <w:tc>
          <w:tcPr>
            <w:tcW w:w="682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>B2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科技資訊與媒體素養</w:t>
            </w:r>
          </w:p>
        </w:tc>
        <w:tc>
          <w:tcPr>
            <w:tcW w:w="2292" w:type="dxa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具備善用科技、資訊與各類媒體之能力，培養相關倫理及媒體識讀的素養，俾能分析、思辨、批</w:t>
            </w:r>
          </w:p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判人與科技、資訊及媒體之關係。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利用數位科技</w:t>
            </w:r>
            <w:r w:rsidRPr="000E73A8">
              <w:rPr>
                <w:rFonts w:asciiTheme="minorEastAsia" w:eastAsiaTheme="minorEastAsia" w:hAnsiTheme="minorEastAsia" w:hint="eastAsia"/>
                <w:szCs w:val="24"/>
              </w:rPr>
              <w:t>搜尋、分析、組織學習題材進而成為有用資訊，進而作為學習成果展現或討論的平台；包含網路倫理、資訊真偽與立場辨識</w:t>
            </w:r>
          </w:p>
        </w:tc>
        <w:tc>
          <w:tcPr>
            <w:tcW w:w="2293" w:type="dxa"/>
          </w:tcPr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引導學生利用數位科技搜尋、分析、組織學習題材進而成為有用資訊，進而作為學習成果展現或討論的平台；包含網路倫理、資訊真偽與立場辨識，以有效輔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lastRenderedPageBreak/>
              <w:t xml:space="preserve">助各學科相關學習內容之效能。 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lastRenderedPageBreak/>
              <w:t>例如：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此學習主題的學習資源足夠嗎？學生是否需要上網查詢？</w:t>
            </w:r>
            <w:r w:rsidRPr="00333B94">
              <w:rPr>
                <w:rFonts w:asciiTheme="minorEastAsia" w:eastAsiaTheme="minorEastAsia" w:hAnsiTheme="minorEastAsia" w:cs="細明體"/>
                <w:szCs w:val="24"/>
              </w:rPr>
              <w:t xml:space="preserve"> </w:t>
            </w:r>
          </w:p>
          <w:p w:rsidR="004D7EB7" w:rsidRDefault="004D7EB7" w:rsidP="004D7EB7">
            <w:pPr>
              <w:spacing w:after="0" w:line="240" w:lineRule="atLeast"/>
              <w:ind w:rightChars="27" w:right="65"/>
              <w:jc w:val="both"/>
              <w:rPr>
                <w:rFonts w:asciiTheme="minorEastAsia" w:eastAsiaTheme="minorEastAsia" w:hAnsiTheme="minorEastAsia" w:cs="細明體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二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Pr="00E95B88">
              <w:rPr>
                <w:rFonts w:asciiTheme="minorEastAsia" w:eastAsiaTheme="minorEastAsia" w:hAnsiTheme="minorEastAsia"/>
                <w:szCs w:val="24"/>
              </w:rPr>
              <w:t>學生的學習成果展現或討論互動的介面是否可以善用網路平台？</w:t>
            </w:r>
            <w:r w:rsidRPr="00E95B88">
              <w:rPr>
                <w:rFonts w:asciiTheme="minorEastAsia" w:eastAsiaTheme="minorEastAsia" w:hAnsiTheme="minorEastAsia" w:cs="細明體"/>
                <w:szCs w:val="24"/>
              </w:rPr>
              <w:t xml:space="preserve"> </w:t>
            </w:r>
          </w:p>
          <w:p w:rsidR="004D7EB7" w:rsidRDefault="004D7EB7" w:rsidP="004D7EB7">
            <w:pPr>
              <w:spacing w:after="0" w:line="240" w:lineRule="atLeast"/>
              <w:ind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cs="細明體"/>
                <w:szCs w:val="24"/>
              </w:rPr>
              <w:t>三</w:t>
            </w:r>
            <w:r>
              <w:rPr>
                <w:rFonts w:asciiTheme="minorEastAsia" w:eastAsiaTheme="minorEastAsia" w:hAnsiTheme="minorEastAsia" w:cs="細明體" w:hint="eastAsia"/>
                <w:szCs w:val="24"/>
              </w:rPr>
              <w:t>、</w:t>
            </w:r>
            <w:r w:rsidRPr="00E95B88">
              <w:rPr>
                <w:rFonts w:asciiTheme="minorEastAsia" w:eastAsiaTheme="minorEastAsia" w:hAnsiTheme="minorEastAsia"/>
                <w:szCs w:val="24"/>
              </w:rPr>
              <w:t>網路上的成果展現應注意哪些著作財產權的問題？</w:t>
            </w:r>
          </w:p>
          <w:p w:rsidR="004D7EB7" w:rsidRDefault="004D7EB7" w:rsidP="004D7EB7">
            <w:pPr>
              <w:spacing w:after="0" w:line="240" w:lineRule="atLeast"/>
              <w:ind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t>四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Pr="00E95B88">
              <w:rPr>
                <w:rFonts w:asciiTheme="minorEastAsia" w:eastAsiaTheme="minorEastAsia" w:hAnsiTheme="minorEastAsia"/>
                <w:szCs w:val="24"/>
              </w:rPr>
              <w:t>網路上進行討論互動，應注意哪些人際互動的禮貌與用語，而不會涉及人身攻擊？</w:t>
            </w:r>
          </w:p>
          <w:p w:rsidR="004D7EB7" w:rsidRPr="00E95B88" w:rsidRDefault="004D7EB7" w:rsidP="004D7EB7">
            <w:pPr>
              <w:spacing w:after="0" w:line="240" w:lineRule="atLeast"/>
              <w:ind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95B88">
              <w:rPr>
                <w:rFonts w:asciiTheme="minorEastAsia" w:eastAsiaTheme="minorEastAsia" w:hAnsiTheme="minorEastAsia"/>
                <w:szCs w:val="24"/>
              </w:rPr>
              <w:t>五、科技資訊與產品的應用能否增進學習表現？</w:t>
            </w:r>
            <w:r w:rsidRPr="00E95B88">
              <w:rPr>
                <w:rFonts w:asciiTheme="minorEastAsia" w:eastAsiaTheme="minorEastAsia" w:hAnsiTheme="minorEastAsia" w:cs="細明體"/>
                <w:szCs w:val="24"/>
              </w:rPr>
              <w:t xml:space="preserve"> </w:t>
            </w:r>
          </w:p>
        </w:tc>
      </w:tr>
      <w:tr w:rsidR="004D7EB7" w:rsidRPr="00333B94" w:rsidTr="004D7EB7">
        <w:trPr>
          <w:trHeight w:val="451"/>
        </w:trPr>
        <w:tc>
          <w:tcPr>
            <w:tcW w:w="502" w:type="dxa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lastRenderedPageBreak/>
              <w:t>互動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</w:p>
        </w:tc>
        <w:tc>
          <w:tcPr>
            <w:tcW w:w="1877" w:type="dxa"/>
            <w:tcBorders>
              <w:top w:val="nil"/>
              <w:bottom w:val="single" w:sz="6" w:space="0" w:color="000000"/>
            </w:tcBorders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 w:cs="新細明體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此外，藝術也是重要的溝通工具，國民應具備藝術涵養與生活美感，並善用</w:t>
            </w: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 xml:space="preserve"> </w:t>
            </w: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這些工具。</w:t>
            </w:r>
          </w:p>
        </w:tc>
        <w:tc>
          <w:tcPr>
            <w:tcW w:w="682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 xml:space="preserve">B3 </w:t>
            </w:r>
          </w:p>
          <w:p w:rsidR="004D7EB7" w:rsidRPr="00333B94" w:rsidRDefault="004D7EB7" w:rsidP="004D7EB7">
            <w:pPr>
              <w:spacing w:after="0" w:line="240" w:lineRule="atLeast"/>
              <w:ind w:left="0" w:right="41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藝術涵養與美感素養 </w:t>
            </w:r>
          </w:p>
        </w:tc>
        <w:tc>
          <w:tcPr>
            <w:tcW w:w="2292" w:type="dxa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具備藝術感知、創作與鑑賞能力，體會藝術文化之美，透過生活美學的省思，豐富美感體驗，培養對美善的人事物，進行賞</w:t>
            </w:r>
          </w:p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析、建構與分享的態度與能力。 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將美感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融入學習過程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及</w:t>
            </w:r>
            <w:r w:rsidRPr="000E73A8">
              <w:rPr>
                <w:rFonts w:asciiTheme="minorEastAsia" w:eastAsiaTheme="minorEastAsia" w:hAnsiTheme="minorEastAsia" w:hint="eastAsia"/>
                <w:szCs w:val="24"/>
              </w:rPr>
              <w:t>成果作品，並鑑賞同儕成果，使美感融入學習甚至生活中的大小事。</w:t>
            </w:r>
          </w:p>
        </w:tc>
        <w:tc>
          <w:tcPr>
            <w:tcW w:w="2293" w:type="dxa"/>
          </w:tcPr>
          <w:p w:rsidR="004D7EB7" w:rsidRPr="00333B94" w:rsidRDefault="004D7EB7" w:rsidP="004D7EB7">
            <w:pPr>
              <w:spacing w:after="0" w:line="240" w:lineRule="atLeast"/>
              <w:ind w:left="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掌握學生能否了解學科內容知識與掌握美感形式的基本認知，引導學生將美感融入學習過程及成果作品，並鑑賞同儕成果，與人討論、分享美感體悟，使美感融入學習甚至生活中的大小事。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5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例如：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numPr>
                <w:ilvl w:val="0"/>
                <w:numId w:val="3"/>
              </w:numPr>
              <w:spacing w:after="0" w:line="240" w:lineRule="atLeast"/>
              <w:ind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是否提供五感探索經驗，享受各種藝術媒介的學習樂趣？</w:t>
            </w:r>
            <w:r w:rsidRPr="00333B94">
              <w:rPr>
                <w:rFonts w:asciiTheme="minorEastAsia" w:eastAsiaTheme="minorEastAsia" w:hAnsiTheme="minorEastAsia" w:cs="細明體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numPr>
                <w:ilvl w:val="0"/>
                <w:numId w:val="3"/>
              </w:numPr>
              <w:spacing w:after="0" w:line="240" w:lineRule="atLeast"/>
              <w:ind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除了語言符號或數位平台的展現，是否也能善用藝術展演方式，呈現其學習結果？</w:t>
            </w:r>
            <w:r w:rsidRPr="00333B94">
              <w:rPr>
                <w:rFonts w:asciiTheme="minorEastAsia" w:eastAsiaTheme="minorEastAsia" w:hAnsiTheme="minorEastAsia" w:cs="細明體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numPr>
                <w:ilvl w:val="0"/>
                <w:numId w:val="3"/>
              </w:numPr>
              <w:spacing w:after="0" w:line="240" w:lineRule="atLeast"/>
              <w:ind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學生對於此學習主題的學習成果之展現，是否在內容之外，也能從美的角度考量作品的品質？四、學生是否能將對於美的追求融入學習的過程中呢？</w:t>
            </w:r>
            <w:r w:rsidRPr="00333B94">
              <w:rPr>
                <w:rFonts w:asciiTheme="minorEastAsia" w:eastAsiaTheme="minorEastAsia" w:hAnsiTheme="minorEastAsia" w:cs="細明體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numPr>
                <w:ilvl w:val="0"/>
                <w:numId w:val="4"/>
              </w:numPr>
              <w:spacing w:after="0" w:line="240" w:lineRule="atLeast"/>
              <w:ind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學生能否了解學習內容、素材或展演活動？</w:t>
            </w:r>
            <w:r w:rsidRPr="00333B94">
              <w:rPr>
                <w:rFonts w:asciiTheme="minorEastAsia" w:eastAsiaTheme="minorEastAsia" w:hAnsiTheme="minorEastAsia" w:cs="細明體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numPr>
                <w:ilvl w:val="0"/>
                <w:numId w:val="4"/>
              </w:numPr>
              <w:spacing w:after="0" w:line="240" w:lineRule="atLeast"/>
              <w:ind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在進行美感體悟的過程後，是否能與人討論、分享內在的感知？</w:t>
            </w:r>
            <w:r w:rsidRPr="00333B94">
              <w:rPr>
                <w:rFonts w:asciiTheme="minorEastAsia" w:eastAsiaTheme="minorEastAsia" w:hAnsiTheme="minorEastAsia" w:cs="細明體"/>
                <w:szCs w:val="24"/>
              </w:rPr>
              <w:t xml:space="preserve"> </w:t>
            </w:r>
          </w:p>
        </w:tc>
      </w:tr>
      <w:tr w:rsidR="004D7EB7" w:rsidRPr="00333B94" w:rsidTr="004D7EB7">
        <w:trPr>
          <w:trHeight w:val="451"/>
        </w:trPr>
        <w:tc>
          <w:tcPr>
            <w:tcW w:w="502" w:type="dxa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新細明體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共好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新細明體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Ｃ社會參與</w:t>
            </w:r>
          </w:p>
        </w:tc>
        <w:tc>
          <w:tcPr>
            <w:tcW w:w="1877" w:type="dxa"/>
            <w:tcBorders>
              <w:top w:val="single" w:sz="6" w:space="0" w:color="000000"/>
              <w:bottom w:val="nil"/>
            </w:tcBorders>
          </w:tcPr>
          <w:p w:rsidR="004D7EB7" w:rsidRPr="004D7EB7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強</w:t>
            </w:r>
            <w:r w:rsidRPr="00270659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調學習者在彼此緊密連結的地球村中，需要學習處理社會的多元性，以參與行動與他人建立適切的合作模式與人際關係。每個人都需要以參與</w:t>
            </w: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方式培養與他人或群體互動的素養，以提升人類整體生活品質。社會參與既是一種社會素養，也是一種公民意識。</w:t>
            </w:r>
          </w:p>
        </w:tc>
        <w:tc>
          <w:tcPr>
            <w:tcW w:w="682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 xml:space="preserve">C1 </w:t>
            </w:r>
          </w:p>
          <w:p w:rsidR="004D7EB7" w:rsidRPr="00333B94" w:rsidRDefault="004D7EB7" w:rsidP="004D7EB7">
            <w:pPr>
              <w:spacing w:after="0" w:line="240" w:lineRule="atLeast"/>
              <w:ind w:left="0" w:right="41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道德實踐與公民意識 </w:t>
            </w:r>
          </w:p>
        </w:tc>
        <w:tc>
          <w:tcPr>
            <w:tcW w:w="2292" w:type="dxa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具備道德實踐的素養，從個人小我到社會公民，循序漸進，養成社會責任感及公民意識，主動關注公共議題並積極參與社會活動，關懷自然生態與人類永續發展，而展現知善、樂善與行善的品德。 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E73A8">
              <w:rPr>
                <w:rFonts w:asciiTheme="minorEastAsia" w:eastAsiaTheme="minorEastAsia" w:hAnsiTheme="minorEastAsia" w:hint="eastAsia"/>
                <w:szCs w:val="24"/>
              </w:rPr>
              <w:t>理解社會現象，思辨社會規範，並活用所學參與社會活動。</w:t>
            </w:r>
          </w:p>
        </w:tc>
        <w:tc>
          <w:tcPr>
            <w:tcW w:w="2293" w:type="dxa"/>
          </w:tcPr>
          <w:p w:rsidR="004D7EB7" w:rsidRPr="00333B94" w:rsidRDefault="004D7EB7" w:rsidP="004D7EB7">
            <w:pPr>
              <w:spacing w:after="0" w:line="240" w:lineRule="atLeast"/>
              <w:ind w:left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引導學生藉由思辨進而理解班級常規、課堂學習規範與公民意識，並能實踐於班級、學校生活中。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:rsidR="004D7EB7" w:rsidRDefault="004D7EB7" w:rsidP="004D7EB7">
            <w:pPr>
              <w:spacing w:after="0" w:line="240" w:lineRule="atLeast"/>
              <w:ind w:left="0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例如：</w:t>
            </w:r>
          </w:p>
          <w:p w:rsidR="004D7EB7" w:rsidRPr="00333B94" w:rsidRDefault="004D7EB7" w:rsidP="004D7EB7">
            <w:pPr>
              <w:spacing w:after="0" w:line="240" w:lineRule="atLeast"/>
              <w:ind w:left="0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一、學校班級常規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 w:cs="Times New Roman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如何教育學生更能意識到自己身為學校學生，在校內外所應盡的責任和義務為何？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2.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如何教育學生更能意識到自己身為班上學生，在班級中所應盡的責任和義務為何？</w:t>
            </w:r>
          </w:p>
          <w:p w:rsidR="004D7EB7" w:rsidRPr="00333B94" w:rsidRDefault="004D7EB7" w:rsidP="004D7EB7">
            <w:pPr>
              <w:spacing w:after="0" w:line="240" w:lineRule="atLeast"/>
              <w:ind w:left="0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二、課堂學習規範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(Norm)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教師能否與學生共同討論並擬定課堂學習規範？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2.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學生能否遵守課堂學習規範中不應該出現的行為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?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3.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學生能否表現出課堂學習規範中積極的參與行為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?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4.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學生對於學習成果能真實呈現，不作弊、不造假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? </w:t>
            </w:r>
          </w:p>
          <w:p w:rsidR="004D7EB7" w:rsidRPr="00333B94" w:rsidRDefault="004D7EB7" w:rsidP="004D7EB7">
            <w:pPr>
              <w:spacing w:after="0" w:line="240" w:lineRule="atLeast"/>
              <w:ind w:left="0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三、學習主題特殊規範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(Norm) </w:t>
            </w:r>
          </w:p>
          <w:p w:rsidR="004D7EB7" w:rsidRPr="00333B94" w:rsidRDefault="004D7EB7" w:rsidP="004D7EB7">
            <w:pPr>
              <w:spacing w:after="0" w:line="240" w:lineRule="atLeast"/>
              <w:ind w:left="480"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學生在進行此學習主題的活動進行過程中，可能會有哪些規範上的問題？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</w:tr>
      <w:tr w:rsidR="004D7EB7" w:rsidRPr="00333B94" w:rsidTr="004D7EB7">
        <w:trPr>
          <w:trHeight w:val="451"/>
        </w:trPr>
        <w:tc>
          <w:tcPr>
            <w:tcW w:w="502" w:type="dxa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>共好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Ｃ社會參與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 xml:space="preserve">C2 </w:t>
            </w:r>
          </w:p>
          <w:p w:rsidR="004D7EB7" w:rsidRPr="00333B94" w:rsidRDefault="004D7EB7" w:rsidP="004D7EB7">
            <w:pPr>
              <w:spacing w:after="0" w:line="240" w:lineRule="atLeast"/>
              <w:ind w:left="0" w:right="41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人際關係與團隊合作 </w:t>
            </w:r>
          </w:p>
        </w:tc>
        <w:tc>
          <w:tcPr>
            <w:tcW w:w="2292" w:type="dxa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 xml:space="preserve">具備友善的人際情懷及與他人建立良好的互動關係，並發展與人溝通協調、包容異己、社會參與及服務等團隊合作的素養。 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95B88">
              <w:rPr>
                <w:rFonts w:asciiTheme="minorEastAsia" w:eastAsiaTheme="minorEastAsia" w:hAnsiTheme="minorEastAsia" w:hint="eastAsia"/>
                <w:szCs w:val="24"/>
              </w:rPr>
              <w:t>規劃分組活動的學習任務，引導學生在小組中之溝通協調，以及團隊合作之間如何和諧、有效的達成學習任務。</w:t>
            </w:r>
          </w:p>
        </w:tc>
        <w:tc>
          <w:tcPr>
            <w:tcW w:w="2293" w:type="dxa"/>
          </w:tcPr>
          <w:p w:rsidR="004D7EB7" w:rsidRPr="00333B94" w:rsidRDefault="004D7EB7" w:rsidP="004D7EB7">
            <w:pPr>
              <w:spacing w:after="0" w:line="240" w:lineRule="atLeast"/>
              <w:ind w:left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規劃分組活動的學習任務，引導學生在小組中之溝通協調，以及團隊合作之間如何和諧、有</w:t>
            </w:r>
          </w:p>
          <w:p w:rsidR="004D7EB7" w:rsidRPr="00333B94" w:rsidRDefault="004D7EB7" w:rsidP="004D7EB7">
            <w:pPr>
              <w:spacing w:after="0" w:line="240" w:lineRule="atLeast"/>
              <w:ind w:left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效的達成學習任務。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:rsidR="004D7EB7" w:rsidRDefault="004D7EB7" w:rsidP="004D7EB7">
            <w:pPr>
              <w:spacing w:after="0" w:line="240" w:lineRule="atLeast"/>
              <w:ind w:left="0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例如：</w:t>
            </w:r>
          </w:p>
          <w:p w:rsidR="004D7EB7" w:rsidRPr="00333B94" w:rsidRDefault="004D7EB7" w:rsidP="004D7EB7">
            <w:pPr>
              <w:spacing w:after="0" w:line="240" w:lineRule="atLeast"/>
              <w:ind w:left="0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一、分組後學生能否理解並確實執行團隊任務？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學生在團隊中所扮演的角色及任務為何？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2.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成員間如何確實發揮暨分工又合作的團隊精神？</w:t>
            </w:r>
          </w:p>
          <w:p w:rsidR="004D7EB7" w:rsidRPr="00333B94" w:rsidRDefault="004D7EB7" w:rsidP="004D7EB7">
            <w:pPr>
              <w:spacing w:after="0" w:line="240" w:lineRule="atLeast"/>
              <w:ind w:left="425" w:rightChars="27" w:right="65" w:hanging="42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二、團隊合作過程中，如何幫助不同人格特質的學生可以發展良好的人際關係？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80"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1.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如何預先知道哪些學生可能被排擠？分組的策略該如何進行，可以避免此現象？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spacing w:after="0" w:line="240" w:lineRule="atLeast"/>
              <w:ind w:left="480"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 2.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如何使用合宜恰當的表達方式，達到不同意見溝通交流，進而形成團隊共識與默契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? </w:t>
            </w:r>
          </w:p>
        </w:tc>
      </w:tr>
      <w:tr w:rsidR="004D7EB7" w:rsidRPr="00333B94" w:rsidTr="004D7EB7">
        <w:trPr>
          <w:trHeight w:val="451"/>
        </w:trPr>
        <w:tc>
          <w:tcPr>
            <w:tcW w:w="502" w:type="dxa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>共好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center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  <w:r w:rsidRPr="00333B94">
              <w:rPr>
                <w:rFonts w:asciiTheme="minorEastAsia" w:eastAsiaTheme="minorEastAsia" w:hAnsiTheme="minorEastAsia" w:cs="新細明體" w:hint="eastAsia"/>
                <w:b/>
                <w:szCs w:val="24"/>
              </w:rPr>
              <w:t>Ｃ社會參與</w:t>
            </w:r>
          </w:p>
        </w:tc>
        <w:tc>
          <w:tcPr>
            <w:tcW w:w="1877" w:type="dxa"/>
            <w:tcBorders>
              <w:top w:val="nil"/>
              <w:bottom w:val="single" w:sz="6" w:space="0" w:color="000000"/>
            </w:tcBorders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 w:cs="Times New Roman"/>
                <w:b/>
                <w:szCs w:val="24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 w:cs="Times New Roman"/>
                <w:b/>
                <w:szCs w:val="24"/>
              </w:rPr>
              <w:t xml:space="preserve">C3 </w:t>
            </w:r>
          </w:p>
          <w:p w:rsidR="004D7EB7" w:rsidRPr="00333B94" w:rsidRDefault="004D7EB7" w:rsidP="004D7EB7">
            <w:pPr>
              <w:spacing w:after="0" w:line="240" w:lineRule="atLeast"/>
              <w:ind w:left="0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多元文化與國際理解</w:t>
            </w:r>
          </w:p>
        </w:tc>
        <w:tc>
          <w:tcPr>
            <w:tcW w:w="2292" w:type="dxa"/>
          </w:tcPr>
          <w:p w:rsidR="004D7EB7" w:rsidRPr="00333B94" w:rsidRDefault="004D7EB7" w:rsidP="004D7EB7">
            <w:pPr>
              <w:spacing w:after="0" w:line="240" w:lineRule="atLeast"/>
              <w:ind w:left="0" w:right="109"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具備自我文化認同的信念，並尊重與欣賞多元文化，積極關心全球議題及國際情勢，且能順應時代脈動與社會需要，發展國際理解、多元文化價值觀與世界和平的胸懷。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95B88">
              <w:rPr>
                <w:rFonts w:asciiTheme="minorEastAsia" w:eastAsiaTheme="minorEastAsia" w:hAnsiTheme="minorEastAsia" w:hint="eastAsia"/>
                <w:szCs w:val="24"/>
              </w:rPr>
              <w:t>藉由同理心的引導，使學生增進彼此理解，進而培養尊重異己，擴展文化包容力與價值認同。</w:t>
            </w:r>
          </w:p>
        </w:tc>
        <w:tc>
          <w:tcPr>
            <w:tcW w:w="2293" w:type="dxa"/>
          </w:tcPr>
          <w:p w:rsidR="004D7EB7" w:rsidRPr="00333B94" w:rsidRDefault="004D7EB7" w:rsidP="004D7EB7">
            <w:pPr>
              <w:spacing w:after="0" w:line="240" w:lineRule="atLeast"/>
              <w:ind w:left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藉由同理心的引導，使學生增進彼此理解，進而培養尊重、理解與欣賞不同國際文化間觀念與作法的異同，並適時地關心或參與國際相關議題的發展或事務，以擴展文化包容力與認同本土文化特色及在地精神之價值。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:rsidR="004D7EB7" w:rsidRPr="00333B94" w:rsidRDefault="004D7EB7" w:rsidP="004D7EB7">
            <w:pPr>
              <w:spacing w:after="0" w:line="240" w:lineRule="atLeast"/>
              <w:ind w:left="0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例如：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numPr>
                <w:ilvl w:val="0"/>
                <w:numId w:val="5"/>
              </w:numPr>
              <w:spacing w:after="0" w:line="240" w:lineRule="atLeast"/>
              <w:ind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班級中有哪些次級團體？其次級文化為何？性別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?</w:t>
            </w:r>
          </w:p>
          <w:p w:rsidR="004D7EB7" w:rsidRPr="00333B94" w:rsidRDefault="004D7EB7" w:rsidP="004D7EB7">
            <w:pPr>
              <w:spacing w:after="0" w:line="240" w:lineRule="atLeast"/>
              <w:ind w:left="480" w:rightChars="27" w:right="6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族群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?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學業成就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>?</w:t>
            </w:r>
            <w:r w:rsidRPr="00333B94">
              <w:rPr>
                <w:rFonts w:asciiTheme="minorEastAsia" w:eastAsiaTheme="minorEastAsia" w:hAnsiTheme="minorEastAsia"/>
                <w:szCs w:val="24"/>
              </w:rPr>
              <w:t>價值認同？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numPr>
                <w:ilvl w:val="0"/>
                <w:numId w:val="5"/>
              </w:numPr>
              <w:spacing w:after="0" w:line="240" w:lineRule="atLeast"/>
              <w:ind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此次級文化對於學生個人的學習或團隊合作的影響為何？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numPr>
                <w:ilvl w:val="0"/>
                <w:numId w:val="5"/>
              </w:numPr>
              <w:spacing w:after="0" w:line="240" w:lineRule="atLeast"/>
              <w:ind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教師如何協助學生藉由對於次級文化的理解，進而達到團體間的包容與尊重？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  <w:p w:rsidR="004D7EB7" w:rsidRPr="00333B94" w:rsidRDefault="004D7EB7" w:rsidP="004D7EB7">
            <w:pPr>
              <w:numPr>
                <w:ilvl w:val="0"/>
                <w:numId w:val="5"/>
              </w:numPr>
              <w:spacing w:after="0" w:line="240" w:lineRule="atLeast"/>
              <w:ind w:rightChars="27" w:right="65" w:hanging="48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33B94">
              <w:rPr>
                <w:rFonts w:asciiTheme="minorEastAsia" w:eastAsiaTheme="minorEastAsia" w:hAnsiTheme="minorEastAsia"/>
                <w:szCs w:val="24"/>
              </w:rPr>
              <w:t>如何涵養學生藉由班級內次級文化的理解、尊重、包容與接納，進而擴大到班級外、學校、社會、甚至是國際之多元文化的學習與欣賞？</w:t>
            </w:r>
            <w:r w:rsidRPr="00333B94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</w:p>
        </w:tc>
      </w:tr>
    </w:tbl>
    <w:p w:rsidR="001B0EE0" w:rsidRDefault="001B0EE0" w:rsidP="009732AD"/>
    <w:sectPr w:rsidR="001B0EE0" w:rsidSect="004D7EB7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63" w:rsidRDefault="00AD2B63" w:rsidP="001C1DA9">
      <w:pPr>
        <w:spacing w:after="0" w:line="240" w:lineRule="auto"/>
      </w:pPr>
      <w:r>
        <w:separator/>
      </w:r>
    </w:p>
  </w:endnote>
  <w:endnote w:type="continuationSeparator" w:id="0">
    <w:p w:rsidR="00AD2B63" w:rsidRDefault="00AD2B63" w:rsidP="001C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63" w:rsidRDefault="00AD2B63" w:rsidP="001C1DA9">
      <w:pPr>
        <w:spacing w:after="0" w:line="240" w:lineRule="auto"/>
      </w:pPr>
      <w:r>
        <w:separator/>
      </w:r>
    </w:p>
  </w:footnote>
  <w:footnote w:type="continuationSeparator" w:id="0">
    <w:p w:rsidR="00AD2B63" w:rsidRDefault="00AD2B63" w:rsidP="001C1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7412"/>
    <w:multiLevelType w:val="hybridMultilevel"/>
    <w:tmpl w:val="5B4E34FA"/>
    <w:lvl w:ilvl="0" w:tplc="DFEAC23C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E6170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E4C0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429F8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D304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87F2A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EC878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81A98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FBD4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5C1B1F"/>
    <w:multiLevelType w:val="hybridMultilevel"/>
    <w:tmpl w:val="335A7210"/>
    <w:lvl w:ilvl="0" w:tplc="683ACE76">
      <w:start w:val="1"/>
      <w:numFmt w:val="ideographDigital"/>
      <w:lvlText w:val="%1、"/>
      <w:lvlJc w:val="left"/>
      <w:pPr>
        <w:ind w:left="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CFA20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21728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6B144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E68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4DCD0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A464E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C50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2679E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90B87"/>
    <w:multiLevelType w:val="hybridMultilevel"/>
    <w:tmpl w:val="E5F6C1BC"/>
    <w:lvl w:ilvl="0" w:tplc="D23A88B2">
      <w:start w:val="1"/>
      <w:numFmt w:val="ideographDigital"/>
      <w:lvlText w:val="%1、"/>
      <w:lvlJc w:val="left"/>
      <w:pPr>
        <w:ind w:left="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661FE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AA4CA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0E01E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C6390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E5F1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A6F0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2C7B6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0649A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DF0C31"/>
    <w:multiLevelType w:val="hybridMultilevel"/>
    <w:tmpl w:val="C93486FA"/>
    <w:lvl w:ilvl="0" w:tplc="9D9CF0B4">
      <w:start w:val="2"/>
      <w:numFmt w:val="ideographDigital"/>
      <w:lvlText w:val="%1、"/>
      <w:lvlJc w:val="left"/>
      <w:pPr>
        <w:ind w:left="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49EC0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6CA88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27852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2C2B0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A1B82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C994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A373C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3382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DF3EBA"/>
    <w:multiLevelType w:val="hybridMultilevel"/>
    <w:tmpl w:val="53CAC470"/>
    <w:lvl w:ilvl="0" w:tplc="9AEC002C">
      <w:start w:val="5"/>
      <w:numFmt w:val="ideographDigital"/>
      <w:lvlText w:val="%1、"/>
      <w:lvlJc w:val="left"/>
      <w:pPr>
        <w:ind w:left="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C3F2C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C9DF6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C4E42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67B5A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01C1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6CD02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24026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3E8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DA7CC2"/>
    <w:multiLevelType w:val="hybridMultilevel"/>
    <w:tmpl w:val="2098C60C"/>
    <w:lvl w:ilvl="0" w:tplc="E1644382">
      <w:start w:val="2"/>
      <w:numFmt w:val="taiwaneseCountingThousand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E0"/>
    <w:rsid w:val="00043F3F"/>
    <w:rsid w:val="000E73A8"/>
    <w:rsid w:val="001B0EE0"/>
    <w:rsid w:val="001C1DA9"/>
    <w:rsid w:val="00270659"/>
    <w:rsid w:val="00333B94"/>
    <w:rsid w:val="004D7EB7"/>
    <w:rsid w:val="00511705"/>
    <w:rsid w:val="006A2CAD"/>
    <w:rsid w:val="007B2459"/>
    <w:rsid w:val="00913946"/>
    <w:rsid w:val="009732AD"/>
    <w:rsid w:val="00AD2B63"/>
    <w:rsid w:val="00BE2C3D"/>
    <w:rsid w:val="00E95B88"/>
    <w:rsid w:val="00F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5DD6F9-CFFD-4F01-8BD6-378BADE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E0"/>
    <w:pPr>
      <w:spacing w:after="5" w:line="349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0E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5B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1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1DA9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1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1DA9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3468</Characters>
  <Application>Microsoft Office Word</Application>
  <DocSecurity>0</DocSecurity>
  <Lines>28</Lines>
  <Paragraphs>8</Paragraphs>
  <ScaleCrop>false</ScaleCrop>
  <Company>Microsoft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何基誠</dc:creator>
  <cp:keywords/>
  <dc:description/>
  <cp:lastModifiedBy>User</cp:lastModifiedBy>
  <cp:revision>2</cp:revision>
  <dcterms:created xsi:type="dcterms:W3CDTF">2018-06-21T09:38:00Z</dcterms:created>
  <dcterms:modified xsi:type="dcterms:W3CDTF">2018-06-21T09:38:00Z</dcterms:modified>
</cp:coreProperties>
</file>