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273" w:rsidRDefault="002A2273" w:rsidP="00385054">
      <w:pPr>
        <w:jc w:val="center"/>
        <w:rPr>
          <w:rFonts w:ascii="標楷體" w:eastAsia="標楷體" w:hAnsi="標楷體" w:cs="Arial Unicode MS" w:hint="eastAsia"/>
          <w:noProof/>
          <w:color w:val="000000"/>
          <w:sz w:val="32"/>
          <w:szCs w:val="32"/>
        </w:rPr>
      </w:pPr>
      <w:r w:rsidRPr="00FE77BF">
        <w:rPr>
          <w:rFonts w:ascii="標楷體" w:eastAsia="標楷體" w:hAnsi="標楷體" w:cs="Arial Unicode MS"/>
          <w:noProof/>
          <w:color w:val="000000"/>
          <w:sz w:val="32"/>
          <w:szCs w:val="32"/>
        </w:rPr>
        <w:t>桃園</w:t>
      </w:r>
      <w:r w:rsidRPr="00FE77BF">
        <w:rPr>
          <w:rFonts w:ascii="標楷體" w:eastAsia="標楷體" w:hAnsi="標楷體" w:cs="Arial Unicode MS" w:hint="eastAsia"/>
          <w:noProof/>
          <w:color w:val="000000"/>
          <w:sz w:val="32"/>
          <w:szCs w:val="32"/>
        </w:rPr>
        <w:t>市</w:t>
      </w:r>
      <w:r w:rsidRPr="00FE77BF">
        <w:rPr>
          <w:rFonts w:ascii="標楷體" w:eastAsia="標楷體" w:hAnsi="標楷體" w:cs="Arial Unicode MS"/>
          <w:noProof/>
          <w:color w:val="000000"/>
          <w:sz w:val="32"/>
          <w:szCs w:val="32"/>
        </w:rPr>
        <w:t>政府公文線上簽核作業規定</w:t>
      </w:r>
    </w:p>
    <w:p w:rsidR="00956067" w:rsidRPr="00956067" w:rsidRDefault="00956067" w:rsidP="00956067">
      <w:pPr>
        <w:jc w:val="right"/>
        <w:rPr>
          <w:rFonts w:ascii="標楷體" w:eastAsia="標楷體" w:hAnsi="標楷體" w:cs="Arial Unicode MS"/>
          <w:noProof/>
          <w:color w:val="000000"/>
          <w:sz w:val="20"/>
          <w:szCs w:val="20"/>
        </w:rPr>
      </w:pPr>
      <w:bookmarkStart w:id="0" w:name="_GoBack"/>
      <w:bookmarkEnd w:id="0"/>
      <w:r>
        <w:rPr>
          <w:rFonts w:ascii="標楷體" w:eastAsia="標楷體" w:hAnsi="標楷體" w:cs="Arial Unicode MS" w:hint="eastAsia"/>
          <w:noProof/>
          <w:color w:val="000000"/>
          <w:sz w:val="20"/>
          <w:szCs w:val="20"/>
        </w:rPr>
        <w:t>中華民國104年6月8日府秘文字第1040115917號函訂定</w:t>
      </w:r>
    </w:p>
    <w:p w:rsidR="002A2273" w:rsidRPr="00FE77BF" w:rsidRDefault="002A2273" w:rsidP="00FE77BF">
      <w:pPr>
        <w:pStyle w:val="a3"/>
        <w:numPr>
          <w:ilvl w:val="0"/>
          <w:numId w:val="1"/>
        </w:numPr>
        <w:spacing w:line="520" w:lineRule="exact"/>
        <w:ind w:leftChars="0" w:left="482" w:hanging="482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桃園</w:t>
      </w:r>
      <w:r w:rsidRPr="00FE77BF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市</w:t>
      </w: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政府(以下簡稱本府)為統一實施</w:t>
      </w:r>
      <w:r w:rsidR="007F1003">
        <w:rPr>
          <w:rFonts w:ascii="標楷體" w:eastAsia="標楷體" w:hAnsi="標楷體" w:cs="Arial Unicode MS"/>
          <w:noProof/>
          <w:color w:val="000000"/>
          <w:sz w:val="27"/>
          <w:szCs w:val="27"/>
        </w:rPr>
        <w:t>公文線上簽核處理方式，提升行政效率及達成無紙化目標，特訂定本</w:t>
      </w: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規定。</w:t>
      </w:r>
    </w:p>
    <w:p w:rsidR="002A2273" w:rsidRPr="00FE77BF" w:rsidRDefault="002A2273" w:rsidP="00FE77BF">
      <w:pPr>
        <w:pStyle w:val="a3"/>
        <w:numPr>
          <w:ilvl w:val="0"/>
          <w:numId w:val="1"/>
        </w:numPr>
        <w:spacing w:line="520" w:lineRule="exact"/>
        <w:ind w:leftChars="0" w:left="482" w:hanging="482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本府及所屬各機關</w:t>
      </w:r>
      <w:r w:rsidR="0008551C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學校</w:t>
      </w: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（不含地方稅務局</w:t>
      </w:r>
      <w:r w:rsidR="00D455C5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，</w:t>
      </w: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以下簡稱各機關)之線上簽核作業，依本規定之規</w:t>
      </w:r>
      <w:r w:rsidR="00D455C5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定</w:t>
      </w: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，本規定未規</w:t>
      </w:r>
      <w:r w:rsidR="00D455C5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定</w:t>
      </w: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者，適用</w:t>
      </w:r>
      <w:r w:rsidR="00D455C5">
        <w:rPr>
          <w:rFonts w:ascii="標楷體" w:eastAsia="標楷體" w:hAnsi="標楷體" w:cs="Arial Unicode MS"/>
          <w:noProof/>
          <w:color w:val="000000"/>
          <w:sz w:val="27"/>
          <w:szCs w:val="27"/>
        </w:rPr>
        <w:t>文書處理手冊、文書及檔案管理電腦化作業規範</w:t>
      </w: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及其他相關法令之規定。本</w:t>
      </w:r>
      <w:r w:rsidRPr="00FE77BF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市</w:t>
      </w:r>
      <w:r w:rsidR="00DA3E25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復興</w:t>
      </w:r>
      <w:r w:rsidRPr="00FE77BF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區</w:t>
      </w: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公所得準用本規定，或參酌本規定自行訂定作業規定。</w:t>
      </w:r>
    </w:p>
    <w:p w:rsidR="002A2273" w:rsidRPr="00FE77BF" w:rsidRDefault="00A36B82" w:rsidP="00FE77BF">
      <w:pPr>
        <w:pStyle w:val="a3"/>
        <w:numPr>
          <w:ilvl w:val="0"/>
          <w:numId w:val="1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各</w:t>
      </w:r>
      <w:r w:rsidR="00E53105"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機關公文得採線上簽核，將公文之處理以電子方式在安全之網路作業環境下，採用電子認證、權限控管或其他安全管制措施，並在確保電子文件之可認證性下，進</w:t>
      </w:r>
      <w:r>
        <w:rPr>
          <w:rFonts w:ascii="標楷體" w:eastAsia="標楷體" w:hAnsi="標楷體" w:cs="Arial Unicode MS"/>
          <w:noProof/>
          <w:color w:val="000000"/>
          <w:sz w:val="27"/>
          <w:szCs w:val="27"/>
        </w:rPr>
        <w:t>行線上傳遞、簽核工作。各機關實施公文線上簽核採電子認證者，應依文書及檔案管理電腦化作業規範</w:t>
      </w:r>
      <w:r w:rsidR="00E53105"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辦理。</w:t>
      </w:r>
    </w:p>
    <w:p w:rsidR="00E53105" w:rsidRPr="00FE77BF" w:rsidRDefault="00722BE6" w:rsidP="00FE77BF">
      <w:pPr>
        <w:pStyle w:val="a3"/>
        <w:numPr>
          <w:ilvl w:val="0"/>
          <w:numId w:val="1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線上簽核應注意事項如下：</w:t>
      </w:r>
    </w:p>
    <w:p w:rsidR="00722BE6" w:rsidRPr="00FE77BF" w:rsidRDefault="00722BE6" w:rsidP="00FE77BF">
      <w:pPr>
        <w:pStyle w:val="a3"/>
        <w:numPr>
          <w:ilvl w:val="0"/>
          <w:numId w:val="2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機關公文線上簽核處理原則如下：</w:t>
      </w:r>
    </w:p>
    <w:p w:rsidR="00722BE6" w:rsidRPr="00FE77BF" w:rsidRDefault="00722BE6" w:rsidP="00FE77BF">
      <w:pPr>
        <w:pStyle w:val="a3"/>
        <w:numPr>
          <w:ilvl w:val="0"/>
          <w:numId w:val="3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各機關為提高行政效率及節能減紙，對機關內非密等公文適合線上簽核者，於設備、人員能配合時，應以線上簽核行之。</w:t>
      </w:r>
    </w:p>
    <w:p w:rsidR="00722BE6" w:rsidRPr="00FE77BF" w:rsidRDefault="00722BE6" w:rsidP="00FE77BF">
      <w:pPr>
        <w:pStyle w:val="a3"/>
        <w:numPr>
          <w:ilvl w:val="0"/>
          <w:numId w:val="3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簽核公文應確保簽章與簽核文件之不可否認性，並應詳實記載相關事項如下：</w:t>
      </w:r>
    </w:p>
    <w:p w:rsidR="00722BE6" w:rsidRPr="00FE77BF" w:rsidRDefault="00722BE6" w:rsidP="00FE77BF">
      <w:pPr>
        <w:pStyle w:val="a3"/>
        <w:numPr>
          <w:ilvl w:val="0"/>
          <w:numId w:val="5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可標示公文時效性。</w:t>
      </w:r>
    </w:p>
    <w:p w:rsidR="00722BE6" w:rsidRPr="00FE77BF" w:rsidRDefault="00722BE6" w:rsidP="00FE77BF">
      <w:pPr>
        <w:pStyle w:val="a3"/>
        <w:numPr>
          <w:ilvl w:val="0"/>
          <w:numId w:val="5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應詳實記錄各會簽意見。</w:t>
      </w:r>
    </w:p>
    <w:p w:rsidR="00B52D5D" w:rsidRPr="00FE77BF" w:rsidRDefault="00B52D5D" w:rsidP="00FE77BF">
      <w:pPr>
        <w:pStyle w:val="a3"/>
        <w:numPr>
          <w:ilvl w:val="0"/>
          <w:numId w:val="5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應詳實記錄各陳核流程人員之修改與批註文字。</w:t>
      </w:r>
    </w:p>
    <w:p w:rsidR="00722BE6" w:rsidRPr="00FE77BF" w:rsidRDefault="00B52D5D" w:rsidP="00FE77BF">
      <w:pPr>
        <w:pStyle w:val="a3"/>
        <w:numPr>
          <w:ilvl w:val="0"/>
          <w:numId w:val="3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簽核人員因故未能使用電子憑證進行簽章時，得至簽核系統申請未帶卡作業替代，並於歸檔前完成電子憑證之補簽作業。</w:t>
      </w:r>
    </w:p>
    <w:p w:rsidR="00722BE6" w:rsidRPr="00FE77BF" w:rsidRDefault="00FE415F" w:rsidP="00FE77BF">
      <w:pPr>
        <w:pStyle w:val="a3"/>
        <w:numPr>
          <w:ilvl w:val="0"/>
          <w:numId w:val="2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承辦人員擬辦案件時，應注意前後關聯案件陳核方式之一致性，</w:t>
      </w: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lastRenderedPageBreak/>
        <w:t>前後關聯案件引用原則如下：</w:t>
      </w:r>
    </w:p>
    <w:p w:rsidR="00FE415F" w:rsidRPr="00FE77BF" w:rsidRDefault="00FE415F" w:rsidP="00FE77BF">
      <w:pPr>
        <w:pStyle w:val="a3"/>
        <w:numPr>
          <w:ilvl w:val="0"/>
          <w:numId w:val="6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前案為紙本簽核，後案為線上簽核者，承辦人員應將前案紙本文掃描成電子檔，並於後案公文以電子附件方式夾帶，供後案引用。</w:t>
      </w:r>
    </w:p>
    <w:p w:rsidR="00FE415F" w:rsidRPr="00FE77BF" w:rsidRDefault="00E2014F" w:rsidP="00FE77BF">
      <w:pPr>
        <w:pStyle w:val="a3"/>
        <w:numPr>
          <w:ilvl w:val="0"/>
          <w:numId w:val="6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前後兩案皆為線上簽核者，應提供前案檔案聯結資訊。</w:t>
      </w:r>
    </w:p>
    <w:p w:rsidR="00E2014F" w:rsidRPr="00FE77BF" w:rsidRDefault="00E2014F" w:rsidP="00FE77BF">
      <w:pPr>
        <w:pStyle w:val="a3"/>
        <w:numPr>
          <w:ilvl w:val="0"/>
          <w:numId w:val="6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前案為線上簽核，後案為紙本簽核者，得列印前案公文內容、簽核流程及簽核意見。</w:t>
      </w:r>
    </w:p>
    <w:p w:rsidR="00FE415F" w:rsidRPr="00FE77BF" w:rsidRDefault="00F163B6" w:rsidP="00FE77BF">
      <w:pPr>
        <w:pStyle w:val="a3"/>
        <w:numPr>
          <w:ilvl w:val="0"/>
          <w:numId w:val="2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承辦人員擬辦案件時，得設定簽會流程，各簽核點人員得依實際需求進行簽會流程調整；設定會辦流程時，得視需要設定回傳承辦人員進行意見彙整。</w:t>
      </w:r>
    </w:p>
    <w:p w:rsidR="0070375E" w:rsidRPr="00FE77BF" w:rsidRDefault="0070375E" w:rsidP="00FE77BF">
      <w:pPr>
        <w:pStyle w:val="a3"/>
        <w:numPr>
          <w:ilvl w:val="0"/>
          <w:numId w:val="2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簽核過程中，線上簽核與紙本簽核得互相轉換，惟需退回原承辦人員重新辦理。</w:t>
      </w:r>
    </w:p>
    <w:p w:rsidR="003643AC" w:rsidRPr="00FE77BF" w:rsidRDefault="003643AC" w:rsidP="00FE77BF">
      <w:pPr>
        <w:pStyle w:val="a3"/>
        <w:numPr>
          <w:ilvl w:val="0"/>
          <w:numId w:val="2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承辦人員應注意附件檔之命名應與內容具關聯性，各簽核點人員若有內容異動，應附加版本資訊於附件檔名稱。</w:t>
      </w:r>
    </w:p>
    <w:p w:rsidR="00B230F2" w:rsidRPr="00FE77BF" w:rsidRDefault="00B230F2" w:rsidP="00FE77BF">
      <w:pPr>
        <w:pStyle w:val="a3"/>
        <w:numPr>
          <w:ilvl w:val="0"/>
          <w:numId w:val="2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各簽核點人員、繕校人員，對其文稿內容異動與否，均應採電子憑證進行簽章，以明責任，收文及單位收發人員得不使用電子憑證進行簽章。</w:t>
      </w:r>
    </w:p>
    <w:p w:rsidR="00722BE6" w:rsidRPr="00FE77BF" w:rsidRDefault="00E71AEF" w:rsidP="00FE77BF">
      <w:pPr>
        <w:pStyle w:val="a3"/>
        <w:numPr>
          <w:ilvl w:val="0"/>
          <w:numId w:val="1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線上簽核之公文</w:t>
      </w:r>
      <w:r w:rsidR="00B54D84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應符合下列各款規定</w:t>
      </w: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：</w:t>
      </w:r>
    </w:p>
    <w:p w:rsidR="00E71AEF" w:rsidRPr="00FE77BF" w:rsidRDefault="00E71AEF" w:rsidP="00FE77BF">
      <w:pPr>
        <w:pStyle w:val="a3"/>
        <w:numPr>
          <w:ilvl w:val="0"/>
          <w:numId w:val="7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府文</w:t>
      </w:r>
      <w:r w:rsidR="00B54D84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由</w:t>
      </w:r>
      <w:r w:rsidR="00B54D84">
        <w:rPr>
          <w:rFonts w:ascii="標楷體" w:eastAsia="標楷體" w:hAnsi="標楷體" w:cs="Arial Unicode MS"/>
          <w:noProof/>
          <w:color w:val="000000"/>
          <w:sz w:val="27"/>
          <w:szCs w:val="27"/>
        </w:rPr>
        <w:t>二層以下決行</w:t>
      </w:r>
      <w:r w:rsidR="00B54D84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或</w:t>
      </w: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機關文不限決行層級。</w:t>
      </w:r>
    </w:p>
    <w:p w:rsidR="00E71AEF" w:rsidRPr="00FE77BF" w:rsidRDefault="00E71AEF" w:rsidP="00FE77BF">
      <w:pPr>
        <w:pStyle w:val="a3"/>
        <w:numPr>
          <w:ilvl w:val="0"/>
          <w:numId w:val="7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保存年限十年以下。</w:t>
      </w:r>
    </w:p>
    <w:p w:rsidR="00E71AEF" w:rsidRPr="00FE77BF" w:rsidRDefault="00B54D84" w:rsidP="00FE77BF">
      <w:pPr>
        <w:pStyle w:val="a3"/>
        <w:numPr>
          <w:ilvl w:val="0"/>
          <w:numId w:val="7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>
        <w:rPr>
          <w:rFonts w:ascii="標楷體" w:eastAsia="標楷體" w:hAnsi="標楷體" w:cs="Arial Unicode MS"/>
          <w:noProof/>
          <w:color w:val="000000"/>
          <w:sz w:val="27"/>
          <w:szCs w:val="27"/>
        </w:rPr>
        <w:t>公文</w:t>
      </w:r>
      <w:r w:rsidR="00383D0E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含</w:t>
      </w:r>
      <w:r w:rsidR="00E71AEF"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附件合計十頁以下。</w:t>
      </w:r>
    </w:p>
    <w:p w:rsidR="00E71AEF" w:rsidRPr="00FE77BF" w:rsidRDefault="00E71AEF" w:rsidP="00FE77BF">
      <w:pPr>
        <w:pStyle w:val="a3"/>
        <w:numPr>
          <w:ilvl w:val="0"/>
          <w:numId w:val="7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附件檔案</w:t>
      </w:r>
      <w:r w:rsidR="00B54D84">
        <w:rPr>
          <w:rFonts w:ascii="標楷體" w:eastAsia="標楷體" w:hAnsi="標楷體" w:cs="Arial Unicode MS"/>
          <w:noProof/>
          <w:color w:val="000000"/>
          <w:sz w:val="27"/>
          <w:szCs w:val="27"/>
        </w:rPr>
        <w:t> </w:t>
      </w:r>
      <w:r w:rsidR="00090451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10</w:t>
      </w: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 MB 以下(MB：百萬位元組)。</w:t>
      </w:r>
    </w:p>
    <w:p w:rsidR="00E71AEF" w:rsidRPr="00FE77BF" w:rsidRDefault="00E71AEF" w:rsidP="00FE77BF">
      <w:pPr>
        <w:pStyle w:val="a3"/>
        <w:numPr>
          <w:ilvl w:val="0"/>
          <w:numId w:val="7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附件須可掃描。</w:t>
      </w:r>
    </w:p>
    <w:p w:rsidR="00E71AEF" w:rsidRPr="00FE77BF" w:rsidRDefault="00E71AEF" w:rsidP="00FE77BF">
      <w:pPr>
        <w:pStyle w:val="a3"/>
        <w:numPr>
          <w:ilvl w:val="0"/>
          <w:numId w:val="1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不適用線上簽核之公文類型</w:t>
      </w:r>
      <w:r w:rsidR="00827EB7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如下</w:t>
      </w: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：</w:t>
      </w:r>
    </w:p>
    <w:p w:rsidR="00E71AEF" w:rsidRPr="00FE77BF" w:rsidRDefault="00E71AEF" w:rsidP="00FE77BF">
      <w:pPr>
        <w:pStyle w:val="a3"/>
        <w:numPr>
          <w:ilvl w:val="0"/>
          <w:numId w:val="8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府一層決行案件。</w:t>
      </w:r>
    </w:p>
    <w:p w:rsidR="00E71AEF" w:rsidRPr="00FE77BF" w:rsidRDefault="00E71AEF" w:rsidP="00FE77BF">
      <w:pPr>
        <w:pStyle w:val="a3"/>
        <w:numPr>
          <w:ilvl w:val="0"/>
          <w:numId w:val="8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密件公文(含解降密公文)。</w:t>
      </w:r>
    </w:p>
    <w:p w:rsidR="00E71AEF" w:rsidRPr="00FE77BF" w:rsidRDefault="00827EB7" w:rsidP="00FE77BF">
      <w:pPr>
        <w:pStyle w:val="a3"/>
        <w:numPr>
          <w:ilvl w:val="0"/>
          <w:numId w:val="8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>
        <w:rPr>
          <w:rFonts w:ascii="標楷體" w:eastAsia="標楷體" w:hAnsi="標楷體" w:cs="Arial Unicode MS"/>
          <w:noProof/>
          <w:color w:val="000000"/>
          <w:sz w:val="27"/>
          <w:szCs w:val="27"/>
        </w:rPr>
        <w:lastRenderedPageBreak/>
        <w:t>附件為實體、</w:t>
      </w:r>
      <w:r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須</w:t>
      </w:r>
      <w:r w:rsidR="00E71AEF"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用印或無法掃描。</w:t>
      </w:r>
    </w:p>
    <w:p w:rsidR="00E71AEF" w:rsidRPr="00FE77BF" w:rsidRDefault="00E71AEF" w:rsidP="00FE77BF">
      <w:pPr>
        <w:pStyle w:val="a3"/>
        <w:numPr>
          <w:ilvl w:val="0"/>
          <w:numId w:val="8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會辦機關未實施線上簽核者。</w:t>
      </w:r>
    </w:p>
    <w:p w:rsidR="00E71AEF" w:rsidRPr="00FE77BF" w:rsidRDefault="00E71AEF" w:rsidP="00FE77BF">
      <w:pPr>
        <w:pStyle w:val="a3"/>
        <w:numPr>
          <w:ilvl w:val="0"/>
          <w:numId w:val="8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訴願案件、訴訟案件、國家賠償案件、採購案件及其他依法令規定須以紙本辦理者。</w:t>
      </w:r>
    </w:p>
    <w:p w:rsidR="00E71AEF" w:rsidRPr="00FE77BF" w:rsidRDefault="00E71AEF" w:rsidP="00FE77BF">
      <w:pPr>
        <w:pStyle w:val="a3"/>
        <w:numPr>
          <w:ilvl w:val="0"/>
          <w:numId w:val="8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公文案情複雜或經機關主管科長(主任)認定須採紙本簽核方式辦理者。</w:t>
      </w:r>
    </w:p>
    <w:p w:rsidR="00E71AEF" w:rsidRPr="00FE77BF" w:rsidRDefault="00E71AEF" w:rsidP="00FE77BF">
      <w:pPr>
        <w:pStyle w:val="a3"/>
        <w:numPr>
          <w:ilvl w:val="0"/>
          <w:numId w:val="8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民眾來文。</w:t>
      </w:r>
    </w:p>
    <w:p w:rsidR="00E71AEF" w:rsidRPr="00FE77BF" w:rsidRDefault="00141DD9" w:rsidP="00FE77BF">
      <w:pPr>
        <w:pStyle w:val="a3"/>
        <w:numPr>
          <w:ilvl w:val="0"/>
          <w:numId w:val="1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各機關紙本來文轉線上簽核作業方式</w:t>
      </w:r>
      <w:r w:rsidR="00F37DE2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如下</w:t>
      </w: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：</w:t>
      </w:r>
    </w:p>
    <w:p w:rsidR="00141DD9" w:rsidRPr="00FE77BF" w:rsidRDefault="00F37DE2" w:rsidP="00FE77BF">
      <w:pPr>
        <w:pStyle w:val="a3"/>
        <w:numPr>
          <w:ilvl w:val="0"/>
          <w:numId w:val="9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>
        <w:rPr>
          <w:rFonts w:ascii="標楷體" w:eastAsia="標楷體" w:hAnsi="標楷體" w:cs="Arial Unicode MS"/>
          <w:noProof/>
          <w:color w:val="000000"/>
          <w:sz w:val="27"/>
          <w:szCs w:val="27"/>
        </w:rPr>
        <w:t>紙本來文由各機關依前點規定自行判定為可線上簽核者，則由收文人員予以掃描後循公文流程分文，來文</w:t>
      </w:r>
      <w:r w:rsidR="00141DD9"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紙本及附件併送交承辦人員。</w:t>
      </w:r>
    </w:p>
    <w:p w:rsidR="00141DD9" w:rsidRPr="00FE77BF" w:rsidRDefault="00141DD9" w:rsidP="00FE77BF">
      <w:pPr>
        <w:pStyle w:val="a3"/>
        <w:numPr>
          <w:ilvl w:val="0"/>
          <w:numId w:val="9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各機關紙本來文經轉製為電子型式而完成線上簽核辦畢者，各</w:t>
      </w:r>
      <w:r w:rsidR="002F420B"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機關得自行判定其紙本來文是否有重複歸檔之必要，並由業務單位自行判定保存年限及自行保管；惟涉及個人權益或信證稽憑之機關間</w:t>
      </w:r>
      <w:r w:rsidR="00F37DE2">
        <w:rPr>
          <w:rFonts w:ascii="標楷體" w:eastAsia="標楷體" w:hAnsi="標楷體" w:cs="Arial Unicode MS"/>
          <w:noProof/>
          <w:color w:val="000000"/>
          <w:sz w:val="27"/>
          <w:szCs w:val="27"/>
        </w:rPr>
        <w:t>行文及非屬機關間之紙本來文，經改為線上簽核辦畢者，其紙本來文仍</w:t>
      </w:r>
      <w:r w:rsidR="00F37DE2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須</w:t>
      </w:r>
      <w:r w:rsidR="002F420B"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歸檔管理。</w:t>
      </w:r>
    </w:p>
    <w:p w:rsidR="00141DD9" w:rsidRPr="00FE77BF" w:rsidRDefault="002F420B" w:rsidP="00FE77BF">
      <w:pPr>
        <w:pStyle w:val="a3"/>
        <w:numPr>
          <w:ilvl w:val="0"/>
          <w:numId w:val="1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電子收文採線上簽核作業方式</w:t>
      </w:r>
      <w:r w:rsidR="001823B8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如下</w:t>
      </w: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：</w:t>
      </w:r>
    </w:p>
    <w:p w:rsidR="002F420B" w:rsidRPr="00FE77BF" w:rsidRDefault="00176C64" w:rsidP="00FE77BF">
      <w:pPr>
        <w:pStyle w:val="a3"/>
        <w:numPr>
          <w:ilvl w:val="0"/>
          <w:numId w:val="10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電子來文由收文人員直接分文不再列印紙本。</w:t>
      </w:r>
    </w:p>
    <w:p w:rsidR="00176C64" w:rsidRPr="00FE77BF" w:rsidRDefault="001823B8" w:rsidP="00FE77BF">
      <w:pPr>
        <w:pStyle w:val="a3"/>
        <w:numPr>
          <w:ilvl w:val="0"/>
          <w:numId w:val="10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>
        <w:rPr>
          <w:rFonts w:ascii="標楷體" w:eastAsia="標楷體" w:hAnsi="標楷體" w:cs="Arial Unicode MS"/>
          <w:noProof/>
          <w:color w:val="000000"/>
          <w:sz w:val="27"/>
          <w:szCs w:val="27"/>
        </w:rPr>
        <w:t>經承辦人判定不符</w:t>
      </w:r>
      <w:r w:rsidR="00176C64"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線上簽核要件</w:t>
      </w:r>
      <w:r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者</w:t>
      </w:r>
      <w:r>
        <w:rPr>
          <w:rFonts w:ascii="標楷體" w:eastAsia="標楷體" w:hAnsi="標楷體" w:cs="Arial Unicode MS"/>
          <w:noProof/>
          <w:color w:val="000000"/>
          <w:sz w:val="27"/>
          <w:szCs w:val="27"/>
        </w:rPr>
        <w:t>，</w:t>
      </w:r>
      <w:r w:rsidR="00176C64"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由承辦人自行列印並點選轉紙本陳核。</w:t>
      </w:r>
    </w:p>
    <w:p w:rsidR="002F420B" w:rsidRPr="00FE77BF" w:rsidRDefault="00635E83" w:rsidP="00FE77BF">
      <w:pPr>
        <w:pStyle w:val="a3"/>
        <w:numPr>
          <w:ilvl w:val="0"/>
          <w:numId w:val="1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>
        <w:rPr>
          <w:rFonts w:ascii="標楷體" w:eastAsia="標楷體" w:hAnsi="標楷體" w:cs="Arial Unicode MS"/>
          <w:noProof/>
          <w:color w:val="000000"/>
          <w:sz w:val="27"/>
          <w:szCs w:val="27"/>
        </w:rPr>
        <w:t>公文線上簽核函稿完成核決，</w:t>
      </w:r>
      <w:r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如</w:t>
      </w:r>
      <w:r w:rsidR="00CF6AA5"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公文內容有異動，應由承辦人清稿後再發文。</w:t>
      </w:r>
    </w:p>
    <w:p w:rsidR="00CF6AA5" w:rsidRPr="00FE77BF" w:rsidRDefault="00681AD3" w:rsidP="00FE77BF">
      <w:pPr>
        <w:pStyle w:val="a3"/>
        <w:numPr>
          <w:ilvl w:val="0"/>
          <w:numId w:val="1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7"/>
          <w:szCs w:val="27"/>
        </w:rPr>
      </w:pPr>
      <w:r>
        <w:rPr>
          <w:rFonts w:ascii="標楷體" w:eastAsia="標楷體" w:hAnsi="標楷體" w:cs="Arial Unicode MS"/>
          <w:noProof/>
          <w:color w:val="000000"/>
          <w:sz w:val="27"/>
          <w:szCs w:val="27"/>
        </w:rPr>
        <w:t>各層級人員每</w:t>
      </w:r>
      <w:r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日</w:t>
      </w:r>
      <w:r w:rsidR="00AB7234"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應隨時檢查</w:t>
      </w:r>
      <w:r w:rsidR="00BE1B62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有無</w:t>
      </w:r>
      <w:r w:rsidR="00AB7234"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承辦、待批</w:t>
      </w:r>
      <w:r w:rsidR="00BE1B62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及</w:t>
      </w:r>
      <w:r w:rsidR="00BE1B62">
        <w:rPr>
          <w:rFonts w:ascii="標楷體" w:eastAsia="標楷體" w:hAnsi="標楷體" w:cs="Arial Unicode MS"/>
          <w:noProof/>
          <w:color w:val="000000"/>
          <w:sz w:val="27"/>
          <w:szCs w:val="27"/>
        </w:rPr>
        <w:t>受會辦等線上簽核案件，以即時處理公</w:t>
      </w:r>
      <w:r w:rsidR="00BE1B62"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文</w:t>
      </w:r>
      <w:r w:rsidR="00AB7234"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。</w:t>
      </w:r>
    </w:p>
    <w:p w:rsidR="009152BA" w:rsidRPr="00722BE6" w:rsidRDefault="003D0347" w:rsidP="00FE77BF">
      <w:pPr>
        <w:pStyle w:val="a3"/>
        <w:numPr>
          <w:ilvl w:val="0"/>
          <w:numId w:val="1"/>
        </w:numPr>
        <w:spacing w:line="520" w:lineRule="exact"/>
        <w:ind w:leftChars="0"/>
        <w:rPr>
          <w:rFonts w:ascii="標楷體" w:eastAsia="標楷體" w:hAnsi="標楷體" w:cs="Arial Unicode MS"/>
          <w:noProof/>
          <w:color w:val="000000"/>
          <w:sz w:val="26"/>
          <w:szCs w:val="26"/>
        </w:rPr>
      </w:pPr>
      <w:r>
        <w:rPr>
          <w:rFonts w:ascii="標楷體" w:eastAsia="標楷體" w:hAnsi="標楷體" w:cs="Arial Unicode MS"/>
          <w:noProof/>
          <w:color w:val="000000"/>
          <w:sz w:val="27"/>
          <w:szCs w:val="27"/>
        </w:rPr>
        <w:t>相關人員於請假前，應於線上簽核資訊系統啟用代理人機制，避免延宕</w:t>
      </w:r>
      <w:r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公文</w:t>
      </w:r>
      <w:r>
        <w:rPr>
          <w:rFonts w:ascii="標楷體" w:eastAsia="標楷體" w:hAnsi="標楷體" w:cs="Arial Unicode MS"/>
          <w:noProof/>
          <w:color w:val="000000"/>
          <w:sz w:val="27"/>
          <w:szCs w:val="27"/>
        </w:rPr>
        <w:t>處理時</w:t>
      </w:r>
      <w:r>
        <w:rPr>
          <w:rFonts w:ascii="標楷體" w:eastAsia="標楷體" w:hAnsi="標楷體" w:cs="Arial Unicode MS" w:hint="eastAsia"/>
          <w:noProof/>
          <w:color w:val="000000"/>
          <w:sz w:val="27"/>
          <w:szCs w:val="27"/>
        </w:rPr>
        <w:t>效</w:t>
      </w:r>
      <w:r w:rsidR="009152BA" w:rsidRPr="00FE77BF">
        <w:rPr>
          <w:rFonts w:ascii="標楷體" w:eastAsia="標楷體" w:hAnsi="標楷體" w:cs="Arial Unicode MS"/>
          <w:noProof/>
          <w:color w:val="000000"/>
          <w:sz w:val="27"/>
          <w:szCs w:val="27"/>
        </w:rPr>
        <w:t>。</w:t>
      </w:r>
    </w:p>
    <w:sectPr w:rsidR="009152BA" w:rsidRPr="00722BE6" w:rsidSect="00FE77B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3EC" w:rsidRDefault="007723EC" w:rsidP="00BF7537">
      <w:r>
        <w:separator/>
      </w:r>
    </w:p>
  </w:endnote>
  <w:endnote w:type="continuationSeparator" w:id="0">
    <w:p w:rsidR="007723EC" w:rsidRDefault="007723EC" w:rsidP="00BF7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3EC" w:rsidRDefault="007723EC" w:rsidP="00BF7537">
      <w:r>
        <w:separator/>
      </w:r>
    </w:p>
  </w:footnote>
  <w:footnote w:type="continuationSeparator" w:id="0">
    <w:p w:rsidR="007723EC" w:rsidRDefault="007723EC" w:rsidP="00BF75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00C9"/>
    <w:multiLevelType w:val="hybridMultilevel"/>
    <w:tmpl w:val="C52A5C22"/>
    <w:lvl w:ilvl="0" w:tplc="D9EA6D20">
      <w:start w:val="1"/>
      <w:numFmt w:val="decimal"/>
      <w:suff w:val="nothing"/>
      <w:lvlText w:val="%1、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">
    <w:nsid w:val="08F600BF"/>
    <w:multiLevelType w:val="hybridMultilevel"/>
    <w:tmpl w:val="3F1A1FBA"/>
    <w:lvl w:ilvl="0" w:tplc="9738EF3A">
      <w:start w:val="1"/>
      <w:numFmt w:val="taiwaneseCountingThousand"/>
      <w:suff w:val="nothing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66" w:hanging="480"/>
      </w:pPr>
    </w:lvl>
    <w:lvl w:ilvl="2" w:tplc="0409001B" w:tentative="1">
      <w:start w:val="1"/>
      <w:numFmt w:val="lowerRoman"/>
      <w:lvlText w:val="%3."/>
      <w:lvlJc w:val="right"/>
      <w:pPr>
        <w:ind w:left="2346" w:hanging="480"/>
      </w:pPr>
    </w:lvl>
    <w:lvl w:ilvl="3" w:tplc="0409000F" w:tentative="1">
      <w:start w:val="1"/>
      <w:numFmt w:val="decimal"/>
      <w:lvlText w:val="%4."/>
      <w:lvlJc w:val="left"/>
      <w:pPr>
        <w:ind w:left="28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6" w:hanging="480"/>
      </w:pPr>
    </w:lvl>
    <w:lvl w:ilvl="5" w:tplc="0409001B" w:tentative="1">
      <w:start w:val="1"/>
      <w:numFmt w:val="lowerRoman"/>
      <w:lvlText w:val="%6."/>
      <w:lvlJc w:val="right"/>
      <w:pPr>
        <w:ind w:left="3786" w:hanging="480"/>
      </w:pPr>
    </w:lvl>
    <w:lvl w:ilvl="6" w:tplc="0409000F" w:tentative="1">
      <w:start w:val="1"/>
      <w:numFmt w:val="decimal"/>
      <w:lvlText w:val="%7."/>
      <w:lvlJc w:val="left"/>
      <w:pPr>
        <w:ind w:left="42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6" w:hanging="480"/>
      </w:pPr>
    </w:lvl>
    <w:lvl w:ilvl="8" w:tplc="0409001B" w:tentative="1">
      <w:start w:val="1"/>
      <w:numFmt w:val="lowerRoman"/>
      <w:lvlText w:val="%9."/>
      <w:lvlJc w:val="right"/>
      <w:pPr>
        <w:ind w:left="5226" w:hanging="480"/>
      </w:pPr>
    </w:lvl>
  </w:abstractNum>
  <w:abstractNum w:abstractNumId="2">
    <w:nsid w:val="1375209A"/>
    <w:multiLevelType w:val="hybridMultilevel"/>
    <w:tmpl w:val="D48457E0"/>
    <w:lvl w:ilvl="0" w:tplc="274AA27A">
      <w:start w:val="1"/>
      <w:numFmt w:val="decimal"/>
      <w:lvlText w:val="(%1)"/>
      <w:lvlJc w:val="left"/>
      <w:pPr>
        <w:ind w:left="175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3">
    <w:nsid w:val="172B00AF"/>
    <w:multiLevelType w:val="hybridMultilevel"/>
    <w:tmpl w:val="3BB4C706"/>
    <w:lvl w:ilvl="0" w:tplc="74AECC6E">
      <w:start w:val="1"/>
      <w:numFmt w:val="taiwaneseCountingThousand"/>
      <w:suff w:val="nothing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2719118F"/>
    <w:multiLevelType w:val="hybridMultilevel"/>
    <w:tmpl w:val="BED6C27A"/>
    <w:lvl w:ilvl="0" w:tplc="D9EA6D20">
      <w:start w:val="1"/>
      <w:numFmt w:val="decimal"/>
      <w:lvlText w:val="%1、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5">
    <w:nsid w:val="29490E9B"/>
    <w:multiLevelType w:val="hybridMultilevel"/>
    <w:tmpl w:val="1C6CE2F4"/>
    <w:lvl w:ilvl="0" w:tplc="5DA0355A">
      <w:start w:val="1"/>
      <w:numFmt w:val="taiwaneseCountingThousand"/>
      <w:suff w:val="nothing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>
    <w:nsid w:val="645132EF"/>
    <w:multiLevelType w:val="hybridMultilevel"/>
    <w:tmpl w:val="C04010F2"/>
    <w:lvl w:ilvl="0" w:tplc="3CD0818E">
      <w:start w:val="1"/>
      <w:numFmt w:val="taiwaneseCountingThousand"/>
      <w:suff w:val="nothing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64EA2FEF"/>
    <w:multiLevelType w:val="hybridMultilevel"/>
    <w:tmpl w:val="43A0C9C2"/>
    <w:lvl w:ilvl="0" w:tplc="274AA27A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06366CB"/>
    <w:multiLevelType w:val="hybridMultilevel"/>
    <w:tmpl w:val="D7E651B2"/>
    <w:lvl w:ilvl="0" w:tplc="C3CE282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sz w:val="27"/>
        <w:szCs w:val="27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B973154"/>
    <w:multiLevelType w:val="hybridMultilevel"/>
    <w:tmpl w:val="5F849E36"/>
    <w:lvl w:ilvl="0" w:tplc="225C66F6">
      <w:start w:val="1"/>
      <w:numFmt w:val="taiwaneseCountingThousand"/>
      <w:suff w:val="nothing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9"/>
  </w:num>
  <w:num w:numId="8">
    <w:abstractNumId w:val="6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E69"/>
    <w:rsid w:val="0008551C"/>
    <w:rsid w:val="00090451"/>
    <w:rsid w:val="00100B88"/>
    <w:rsid w:val="00141DD9"/>
    <w:rsid w:val="00176C64"/>
    <w:rsid w:val="001823B8"/>
    <w:rsid w:val="00236612"/>
    <w:rsid w:val="002A2273"/>
    <w:rsid w:val="002D2E0E"/>
    <w:rsid w:val="002F420B"/>
    <w:rsid w:val="003643AC"/>
    <w:rsid w:val="00383D0E"/>
    <w:rsid w:val="00385054"/>
    <w:rsid w:val="003D0347"/>
    <w:rsid w:val="004D0836"/>
    <w:rsid w:val="005A3633"/>
    <w:rsid w:val="00605FDC"/>
    <w:rsid w:val="00635E83"/>
    <w:rsid w:val="00681AD3"/>
    <w:rsid w:val="0070375E"/>
    <w:rsid w:val="00722BE6"/>
    <w:rsid w:val="007723EC"/>
    <w:rsid w:val="007F1003"/>
    <w:rsid w:val="00827EB7"/>
    <w:rsid w:val="008B5E85"/>
    <w:rsid w:val="008D763C"/>
    <w:rsid w:val="0090495A"/>
    <w:rsid w:val="009152BA"/>
    <w:rsid w:val="00956067"/>
    <w:rsid w:val="00A307FF"/>
    <w:rsid w:val="00A36B82"/>
    <w:rsid w:val="00A76E69"/>
    <w:rsid w:val="00AB7234"/>
    <w:rsid w:val="00B230F2"/>
    <w:rsid w:val="00B52D5D"/>
    <w:rsid w:val="00B54D84"/>
    <w:rsid w:val="00BE1B62"/>
    <w:rsid w:val="00BF7537"/>
    <w:rsid w:val="00C95B93"/>
    <w:rsid w:val="00CF6AA5"/>
    <w:rsid w:val="00D455C5"/>
    <w:rsid w:val="00DA3E25"/>
    <w:rsid w:val="00E2014F"/>
    <w:rsid w:val="00E53105"/>
    <w:rsid w:val="00E71AEF"/>
    <w:rsid w:val="00F163B6"/>
    <w:rsid w:val="00F37DE2"/>
    <w:rsid w:val="00FE415F"/>
    <w:rsid w:val="00FE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273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E77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E77B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F75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F753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F75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F753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273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E77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E77B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F75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F753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F75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F753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李碩彰</dc:creator>
  <cp:keywords/>
  <dc:description/>
  <cp:lastModifiedBy>李碩彰</cp:lastModifiedBy>
  <cp:revision>42</cp:revision>
  <cp:lastPrinted>2015-03-17T06:40:00Z</cp:lastPrinted>
  <dcterms:created xsi:type="dcterms:W3CDTF">2015-03-17T06:14:00Z</dcterms:created>
  <dcterms:modified xsi:type="dcterms:W3CDTF">2015-06-08T02:43:00Z</dcterms:modified>
</cp:coreProperties>
</file>